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</w:r>
      <w:r/>
    </w:p>
    <w:tbl>
      <w:tblPr>
        <w:tblStyle w:val="83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>
        <w:trPr/>
        <w:tc>
          <w:tcPr>
            <w:tcW w:w="3273" w:type="dxa"/>
            <w:textDirection w:val="lrTb"/>
            <w:noWrap w:val="false"/>
          </w:tcPr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РАССМОТРЕНО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на педагогическом совете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МБОУ "Тюрнясевская СОШ"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Тришина Е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.М.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  <w:p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</w:r>
            <w:r/>
          </w:p>
        </w:tc>
        <w:tc>
          <w:tcPr>
            <w:tcW w:w="3284" w:type="dxa"/>
            <w:textDirection w:val="lrTb"/>
            <w:noWrap w:val="false"/>
          </w:tcPr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</w:tc>
        <w:tc>
          <w:tcPr>
            <w:tcW w:w="3365" w:type="dxa"/>
            <w:textDirection w:val="lrTb"/>
            <w:noWrap w:val="false"/>
          </w:tcPr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УТВЕРЖДЕНО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 МБОУ "Тюрнясевская СОШ"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Михейкин В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.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А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.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Приказ № 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__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-ОД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  <w:r/>
          </w:p>
          <w:p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</w:r>
            <w:r/>
          </w:p>
        </w:tc>
      </w:tr>
    </w:tbl>
    <w:p>
      <w:pPr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УЧЕБНЫЙ ПЛАН</w:t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основного общего образования</w:t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 xml:space="preserve">–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2026</w:t>
      </w:r>
      <w:r>
        <w:rPr>
          <w:rFonts w:asciiTheme="majorBidi" w:hAnsiTheme="majorBidi" w:cstheme="majorBidi"/>
          <w:sz w:val="28"/>
          <w:szCs w:val="28"/>
        </w:rPr>
        <w:t xml:space="preserve"> учебный год</w:t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lef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Нурлатский муниципальный район, Республика Татарстан (Татарстан)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2025</w:t>
      </w:r>
      <w:r/>
    </w:p>
    <w:p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 w:clear="all"/>
      </w:r>
      <w:r>
        <w:rPr>
          <w:rFonts w:asciiTheme="majorBidi" w:hAnsiTheme="majorBidi" w:cstheme="majorBidi"/>
          <w:sz w:val="28"/>
          <w:szCs w:val="28"/>
        </w:rPr>
        <w:t xml:space="preserve">ПОЯСНИТЕЛЬНАЯ ЗАПИСКА</w:t>
      </w:r>
      <w:r/>
    </w:p>
    <w:p>
      <w:pPr>
        <w:jc w:val="center"/>
        <w:spacing w:line="276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spacing w:line="276" w:lineRule="auto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основного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5-9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классов, реализующих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основного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ую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ФГОС О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ОО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7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основного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общего образования»)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,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,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основного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общего образования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,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с учетом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Федеральной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образовательн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ой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программ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ой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основного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,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санитарно-эпидемиологических требований СП 2.4.3648-20 и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СанПиН 1.2.3685-21.</w:t>
      </w:r>
      <w:r/>
    </w:p>
    <w:p>
      <w:pPr>
        <w:ind w:firstLine="567"/>
        <w:jc w:val="both"/>
        <w:spacing w:line="276" w:lineRule="auto"/>
        <w:rPr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начинается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01.09.2025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26.05.2026</w:t>
      </w:r>
      <w:r>
        <w:rPr>
          <w:rFonts w:asciiTheme="majorBidi" w:hAnsiTheme="majorBidi" w:cstheme="majorBidi"/>
          <w:sz w:val="28"/>
          <w:szCs w:val="28"/>
        </w:rPr>
        <w:t xml:space="preserve">. </w:t>
      </w:r>
      <w:r/>
    </w:p>
    <w:p>
      <w:pPr>
        <w:ind w:firstLine="567"/>
        <w:jc w:val="both"/>
        <w:spacing w:line="276" w:lineRule="auto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Про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должительность учебного года в 5-9 классах составляет 34 учебные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недели. 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5-9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6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-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т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и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дневной учебной неделе.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32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а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, в  6 классе – 3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3 часа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, в 7 классе – 3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5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часов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, в  8-9 классах – 3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6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часов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.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 xml:space="preserve">[не указано]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/>
    </w:p>
    <w:p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языком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об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учения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является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язык</w:t>
      </w:r>
      <w:r>
        <w:rPr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учебно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му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предмет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у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«История»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а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в неделю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, 8-9 классы в объеме 2 час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а в неделю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В части предмета обществознание в 2025/202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6 учебному году 5-7 классы не изучают данный предмет, 8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-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9 классы изучают в объеме 1 час в неделю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предметов </w:t>
      </w:r>
      <w:r>
        <w:rPr>
          <w:rStyle w:val="831"/>
          <w:rFonts w:asciiTheme="majorBidi" w:hAnsiTheme="majorBidi" w:cstheme="majorBidi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осуществляется д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еление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учащихся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на подгруппы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Промежуточная аттестация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–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обучающимися части содержания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(четвертное оценивание) или всего объема учебной дисциплины за учебный год (годовое оценивание).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Промежуточная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аттестация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за четверть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и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годовая аттестация обучающихся осуществляется в соответствии с календарным учебным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графиком.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Промежуточная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аттестация проходит на последней учебной неделе четверти.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831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 учреждение "Тюрнясевская средняя общеобразовательная школа Нурлатского муниципального района Республики Татарстан"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.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Освоение основной образовательной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основного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основной образовательной программы основного общего образования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5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лет</w:t>
      </w:r>
      <w:r>
        <w:rPr>
          <w:rStyle w:val="831"/>
          <w:rFonts w:asciiTheme="majorBidi" w:hAnsiTheme="majorBidi" w:cstheme="majorBidi"/>
          <w:sz w:val="28"/>
          <w:szCs w:val="28"/>
        </w:rPr>
        <w:t xml:space="preserve">.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jc w:val="both"/>
        <w:rPr>
          <w:rStyle w:val="831"/>
          <w:rFonts w:asciiTheme="majorBidi" w:hAnsiTheme="majorBidi" w:cstheme="majorBidi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134" w:header="708" w:footer="708" w:gutter="0"/>
          <w:cols w:num="1" w:sep="0" w:space="708" w:equalWidth="1"/>
          <w:docGrid w:linePitch="360"/>
        </w:sectPr>
      </w:pPr>
      <w:r>
        <w:rPr>
          <w:rFonts w:asciiTheme="majorBidi" w:hAnsiTheme="majorBidi" w:cstheme="majorBidi"/>
          <w:sz w:val="28"/>
          <w:szCs w:val="28"/>
        </w:rPr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Style w:val="831"/>
          <w:rFonts w:asciiTheme="majorBidi" w:hAnsiTheme="majorBidi" w:cstheme="majorBidi"/>
          <w:sz w:val="28"/>
          <w:szCs w:val="28"/>
        </w:rPr>
        <w:t xml:space="preserve">УЧЕБНЫЙ ПЛАН</w:t>
      </w:r>
      <w:r/>
    </w:p>
    <w:p>
      <w:pPr>
        <w:ind w:firstLine="567"/>
        <w:jc w:val="both"/>
        <w:rPr>
          <w:rStyle w:val="831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</w:r>
      <w:r/>
    </w:p>
    <w:tbl>
      <w:tblPr>
        <w:tblStyle w:val="834"/>
        <w:tblW w:w="0" w:type="auto"/>
        <w:tblLook w:val="04A0" w:firstRow="1" w:lastRow="0" w:firstColumn="1" w:lastColumn="0" w:noHBand="0" w:noVBand="1"/>
      </w:tblPr>
      <w:tblGrid>
        <w:gridCol w:w="2079"/>
        <w:gridCol w:w="2079"/>
        <w:gridCol w:w="2079"/>
        <w:gridCol w:w="2079"/>
        <w:gridCol w:w="2079"/>
        <w:gridCol w:w="2079"/>
        <w:gridCol w:w="2079"/>
      </w:tblGrid>
      <w:tr>
        <w:trPr/>
        <w:tc>
          <w:tcPr>
            <w:shd w:val="clear" w:color="auto" w:fill="d9d9d9"/>
            <w:tcW w:w="6000" w:type="dxa"/>
            <w:vMerge w:val="restart"/>
            <w:textDirection w:val="lrTb"/>
            <w:noWrap w:val="false"/>
          </w:tcPr>
          <w:p>
            <w:r>
              <w:rPr>
                <w:b/>
              </w:rPr>
              <w:t xml:space="preserve">Предметная область</w:t>
            </w:r>
            <w:r/>
          </w:p>
        </w:tc>
        <w:tc>
          <w:tcPr>
            <w:shd w:val="clear" w:color="auto" w:fill="d9d9d9"/>
            <w:tcW w:w="6000" w:type="dxa"/>
            <w:vMerge w:val="restart"/>
            <w:textDirection w:val="lrTb"/>
            <w:noWrap w:val="false"/>
          </w:tcPr>
          <w:p>
            <w:r>
              <w:rPr>
                <w:b/>
              </w:rPr>
              <w:t xml:space="preserve">Учебный предмет/курс</w:t>
            </w:r>
            <w:r/>
          </w:p>
        </w:tc>
        <w:tc>
          <w:tcPr>
            <w:gridSpan w:val="5"/>
            <w:shd w:val="clear" w:color="auto" w:fill="d9d9d9"/>
            <w:tcW w:w="10395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Количество часов в неделю</w:t>
            </w:r>
            <w:r/>
          </w:p>
        </w:tc>
      </w:tr>
      <w:tr>
        <w:trPr/>
        <w:tc>
          <w:tcPr>
            <w:tcW w:w="20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0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5</w:t>
            </w:r>
            <w:r/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6</w:t>
            </w:r>
            <w:r/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7</w:t>
            </w:r>
            <w:r/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8</w:t>
            </w:r>
            <w:r/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9</w:t>
            </w:r>
            <w:r/>
          </w:p>
        </w:tc>
      </w:tr>
      <w:tr>
        <w:trPr/>
        <w:tc>
          <w:tcPr>
            <w:gridSpan w:val="7"/>
            <w:shd w:val="clear" w:color="auto" w:fill="ffffb3"/>
            <w:tcW w:w="14553" w:type="dxa"/>
            <w:textDirection w:val="lrTb"/>
            <w:noWrap w:val="false"/>
          </w:tcPr>
          <w:p>
            <w:pPr>
              <w:jc w:val="center"/>
            </w:pPr>
            <w:r>
              <w:rPr>
                <w:b/>
              </w:rPr>
              <w:t xml:space="preserve">Обязательная часть</w:t>
            </w:r>
            <w:r/>
          </w:p>
        </w:tc>
      </w:tr>
      <w:tr>
        <w:trPr/>
        <w:tc>
          <w:tcPr>
            <w:tcW w:w="2079" w:type="dxa"/>
            <w:vMerge w:val="restart"/>
            <w:textDirection w:val="lrTb"/>
            <w:noWrap w:val="false"/>
          </w:tcPr>
          <w:p>
            <w:r>
              <w:t xml:space="preserve">Русский язык и литература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Русский язык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</w:tr>
      <w:tr>
        <w:trPr/>
        <w:tc>
          <w:tcPr>
            <w:tcW w:w="20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Литература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</w:tr>
      <w:tr>
        <w:trPr/>
        <w:tc>
          <w:tcPr>
            <w:tcW w:w="2079" w:type="dxa"/>
            <w:vMerge w:val="restart"/>
            <w:textDirection w:val="lrTb"/>
            <w:noWrap w:val="false"/>
          </w:tcPr>
          <w:p>
            <w:r>
              <w:t xml:space="preserve">Родной язык и родная литература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Родной язык и (или) государственный язык республики Российской Федерации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20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Родная литература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2079" w:type="dxa"/>
            <w:textDirection w:val="lrTb"/>
            <w:noWrap w:val="false"/>
          </w:tcPr>
          <w:p>
            <w:r>
              <w:t xml:space="preserve">Иностранные языки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Иностранный язык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</w:tr>
      <w:tr>
        <w:trPr/>
        <w:tc>
          <w:tcPr>
            <w:tcW w:w="2079" w:type="dxa"/>
            <w:vMerge w:val="restart"/>
            <w:textDirection w:val="lrTb"/>
            <w:noWrap w:val="false"/>
          </w:tcPr>
          <w:p>
            <w:r>
              <w:t xml:space="preserve">Математика и информатика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Математика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W w:w="20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Алгебра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</w:tr>
      <w:tr>
        <w:trPr/>
        <w:tc>
          <w:tcPr>
            <w:tcW w:w="20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Геометрия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20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Вероятность и статистика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20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Информатика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2079" w:type="dxa"/>
            <w:vMerge w:val="restart"/>
            <w:textDirection w:val="lrTb"/>
            <w:noWrap w:val="false"/>
          </w:tcPr>
          <w:p>
            <w:r>
              <w:t xml:space="preserve">Общественно-научные предметы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История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20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Обществознание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20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География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2079" w:type="dxa"/>
            <w:vMerge w:val="restart"/>
            <w:textDirection w:val="lrTb"/>
            <w:noWrap w:val="false"/>
          </w:tcPr>
          <w:p>
            <w:r>
              <w:t xml:space="preserve">Естественно-научные предметы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Физика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</w:tr>
      <w:tr>
        <w:trPr/>
        <w:tc>
          <w:tcPr>
            <w:tcW w:w="20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Химия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20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Биология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2079" w:type="dxa"/>
            <w:vMerge w:val="restart"/>
            <w:textDirection w:val="lrTb"/>
            <w:noWrap w:val="false"/>
          </w:tcPr>
          <w:p>
            <w:r>
              <w:t xml:space="preserve">Искусство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Изобразительное искусство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W w:w="2079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Музыка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</w:tr>
      <w:tr>
        <w:trPr/>
        <w:tc>
          <w:tcPr>
            <w:tcW w:w="2079" w:type="dxa"/>
            <w:textDirection w:val="lrTb"/>
            <w:noWrap w:val="false"/>
          </w:tcPr>
          <w:p>
            <w:r>
              <w:t xml:space="preserve">Технология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Труд (технология)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tcW w:w="2079" w:type="dxa"/>
            <w:textDirection w:val="lrTb"/>
            <w:noWrap w:val="false"/>
          </w:tcPr>
          <w:p>
            <w:r>
              <w:t xml:space="preserve">Физическая культура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Физическая культура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</w:tr>
      <w:tr>
        <w:trPr/>
        <w:tc>
          <w:tcPr>
            <w:tcW w:w="2079" w:type="dxa"/>
            <w:textDirection w:val="lrTb"/>
            <w:noWrap w:val="false"/>
          </w:tcPr>
          <w:p>
            <w:r>
              <w:t xml:space="preserve">Основы безопасности и защиты Родины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r>
              <w:t xml:space="preserve">Основы безопасности и защиты Родины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0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</w:tr>
      <w:tr>
        <w:trPr/>
        <w:tc>
          <w:tcPr>
            <w:gridSpan w:val="2"/>
            <w:shd w:val="clear" w:color="auto" w:fill="00ff00"/>
            <w:tcW w:w="4158" w:type="dxa"/>
            <w:textDirection w:val="lrTb"/>
            <w:noWrap w:val="false"/>
          </w:tcPr>
          <w:p>
            <w:r>
              <w:t xml:space="preserve">Итого</w:t>
            </w:r>
            <w:r/>
          </w:p>
        </w:tc>
        <w:tc>
          <w:tcPr>
            <w:shd w:val="clear" w:color="auto" w:fill="00ff00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30</w:t>
            </w:r>
            <w:r/>
          </w:p>
        </w:tc>
        <w:tc>
          <w:tcPr>
            <w:shd w:val="clear" w:color="auto" w:fill="00ff00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31</w:t>
            </w:r>
            <w:r/>
          </w:p>
        </w:tc>
        <w:tc>
          <w:tcPr>
            <w:shd w:val="clear" w:color="auto" w:fill="00ff00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33</w:t>
            </w:r>
            <w:r/>
          </w:p>
        </w:tc>
        <w:tc>
          <w:tcPr>
            <w:shd w:val="clear" w:color="auto" w:fill="00ff00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  <w:tc>
          <w:tcPr>
            <w:shd w:val="clear" w:color="auto" w:fill="00ff00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35</w:t>
            </w:r>
            <w:r/>
          </w:p>
        </w:tc>
      </w:tr>
      <w:tr>
        <w:trPr/>
        <w:tc>
          <w:tcPr>
            <w:gridSpan w:val="2"/>
            <w:shd w:val="clear" w:color="auto" w:fill="00ff00"/>
            <w:tcW w:w="4158" w:type="dxa"/>
            <w:textDirection w:val="lrTb"/>
            <w:noWrap w:val="false"/>
          </w:tcPr>
          <w:p>
            <w:r>
              <w:t xml:space="preserve">ИТОГО недельная нагрузка</w:t>
            </w:r>
            <w:r/>
          </w:p>
        </w:tc>
        <w:tc>
          <w:tcPr>
            <w:shd w:val="clear" w:color="auto" w:fill="00ff00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30</w:t>
            </w:r>
            <w:r/>
          </w:p>
        </w:tc>
        <w:tc>
          <w:tcPr>
            <w:shd w:val="clear" w:color="auto" w:fill="00ff00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31</w:t>
            </w:r>
            <w:r/>
          </w:p>
        </w:tc>
        <w:tc>
          <w:tcPr>
            <w:shd w:val="clear" w:color="auto" w:fill="00ff00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33</w:t>
            </w:r>
            <w:r/>
          </w:p>
        </w:tc>
        <w:tc>
          <w:tcPr>
            <w:shd w:val="clear" w:color="auto" w:fill="00ff00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  <w:tc>
          <w:tcPr>
            <w:shd w:val="clear" w:color="auto" w:fill="00ff00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35</w:t>
            </w:r>
            <w:r/>
          </w:p>
        </w:tc>
      </w:tr>
      <w:tr>
        <w:trPr/>
        <w:tc>
          <w:tcPr>
            <w:gridSpan w:val="2"/>
            <w:shd w:val="clear" w:color="auto" w:fill="fce3fc"/>
            <w:tcW w:w="4158" w:type="dxa"/>
            <w:textDirection w:val="lrTb"/>
            <w:noWrap w:val="false"/>
          </w:tcPr>
          <w:p>
            <w:r>
              <w:t xml:space="preserve">Количество учебных недель</w:t>
            </w:r>
            <w:r/>
          </w:p>
        </w:tc>
        <w:tc>
          <w:tcPr>
            <w:shd w:val="clear" w:color="auto" w:fill="fce3fc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  <w:tc>
          <w:tcPr>
            <w:shd w:val="clear" w:color="auto" w:fill="fce3fc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  <w:tc>
          <w:tcPr>
            <w:shd w:val="clear" w:color="auto" w:fill="fce3fc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  <w:tc>
          <w:tcPr>
            <w:shd w:val="clear" w:color="auto" w:fill="fce3fc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  <w:tc>
          <w:tcPr>
            <w:shd w:val="clear" w:color="auto" w:fill="fce3fc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34</w:t>
            </w:r>
            <w:r/>
          </w:p>
        </w:tc>
      </w:tr>
      <w:tr>
        <w:trPr/>
        <w:tc>
          <w:tcPr>
            <w:gridSpan w:val="2"/>
            <w:shd w:val="clear" w:color="auto" w:fill="fce3fc"/>
            <w:tcW w:w="4158" w:type="dxa"/>
            <w:textDirection w:val="lrTb"/>
            <w:noWrap w:val="false"/>
          </w:tcPr>
          <w:p>
            <w:r>
              <w:t xml:space="preserve">Всего часов в год</w:t>
            </w:r>
            <w:r/>
          </w:p>
        </w:tc>
        <w:tc>
          <w:tcPr>
            <w:shd w:val="clear" w:color="auto" w:fill="fce3fc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1020</w:t>
            </w:r>
            <w:r/>
          </w:p>
        </w:tc>
        <w:tc>
          <w:tcPr>
            <w:shd w:val="clear" w:color="auto" w:fill="fce3fc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1054</w:t>
            </w:r>
            <w:r/>
          </w:p>
        </w:tc>
        <w:tc>
          <w:tcPr>
            <w:shd w:val="clear" w:color="auto" w:fill="fce3fc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1122</w:t>
            </w:r>
            <w:r/>
          </w:p>
        </w:tc>
        <w:tc>
          <w:tcPr>
            <w:shd w:val="clear" w:color="auto" w:fill="fce3fc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1156</w:t>
            </w:r>
            <w:r/>
          </w:p>
        </w:tc>
        <w:tc>
          <w:tcPr>
            <w:shd w:val="clear" w:color="auto" w:fill="fce3fc"/>
            <w:tcW w:w="2079" w:type="dxa"/>
            <w:textDirection w:val="lrTb"/>
            <w:noWrap w:val="false"/>
          </w:tcPr>
          <w:p>
            <w:pPr>
              <w:jc w:val="center"/>
            </w:pPr>
            <w:r>
              <w:t xml:space="preserve">1190</w:t>
            </w:r>
            <w:r/>
          </w:p>
        </w:tc>
      </w:tr>
    </w:tbl>
    <w:p>
      <w:r/>
    </w:p>
    <w:sectPr>
      <w:footnotePr/>
      <w:endnotePr/>
      <w:type w:val="nextPage"/>
      <w:pgSz w:w="16820" w:h="11900" w:orient="landscape"/>
      <w:pgMar w:top="850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4">
    <w:name w:val="Heading 1"/>
    <w:basedOn w:val="819"/>
    <w:next w:val="819"/>
    <w:link w:val="64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5">
    <w:name w:val="Heading 1 Char"/>
    <w:basedOn w:val="821"/>
    <w:link w:val="644"/>
    <w:uiPriority w:val="9"/>
    <w:rPr>
      <w:rFonts w:ascii="Arial" w:hAnsi="Arial" w:eastAsia="Arial" w:cs="Arial"/>
      <w:sz w:val="40"/>
      <w:szCs w:val="40"/>
    </w:rPr>
  </w:style>
  <w:style w:type="paragraph" w:styleId="646">
    <w:name w:val="Heading 2"/>
    <w:basedOn w:val="819"/>
    <w:next w:val="819"/>
    <w:link w:val="64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7">
    <w:name w:val="Heading 2 Char"/>
    <w:basedOn w:val="821"/>
    <w:link w:val="646"/>
    <w:uiPriority w:val="9"/>
    <w:rPr>
      <w:rFonts w:ascii="Arial" w:hAnsi="Arial" w:eastAsia="Arial" w:cs="Arial"/>
      <w:sz w:val="34"/>
    </w:rPr>
  </w:style>
  <w:style w:type="character" w:styleId="648">
    <w:name w:val="Heading 3 Char"/>
    <w:basedOn w:val="821"/>
    <w:link w:val="820"/>
    <w:uiPriority w:val="9"/>
    <w:rPr>
      <w:rFonts w:ascii="Arial" w:hAnsi="Arial" w:eastAsia="Arial" w:cs="Arial"/>
      <w:sz w:val="30"/>
      <w:szCs w:val="30"/>
    </w:rPr>
  </w:style>
  <w:style w:type="paragraph" w:styleId="649">
    <w:name w:val="Heading 4"/>
    <w:basedOn w:val="819"/>
    <w:next w:val="819"/>
    <w:link w:val="65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0">
    <w:name w:val="Heading 4 Char"/>
    <w:basedOn w:val="821"/>
    <w:link w:val="649"/>
    <w:uiPriority w:val="9"/>
    <w:rPr>
      <w:rFonts w:ascii="Arial" w:hAnsi="Arial" w:eastAsia="Arial" w:cs="Arial"/>
      <w:b/>
      <w:bCs/>
      <w:sz w:val="26"/>
      <w:szCs w:val="26"/>
    </w:rPr>
  </w:style>
  <w:style w:type="paragraph" w:styleId="651">
    <w:name w:val="Heading 5"/>
    <w:basedOn w:val="819"/>
    <w:next w:val="819"/>
    <w:link w:val="65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2">
    <w:name w:val="Heading 5 Char"/>
    <w:basedOn w:val="821"/>
    <w:link w:val="651"/>
    <w:uiPriority w:val="9"/>
    <w:rPr>
      <w:rFonts w:ascii="Arial" w:hAnsi="Arial" w:eastAsia="Arial" w:cs="Arial"/>
      <w:b/>
      <w:bCs/>
      <w:sz w:val="24"/>
      <w:szCs w:val="24"/>
    </w:rPr>
  </w:style>
  <w:style w:type="paragraph" w:styleId="653">
    <w:name w:val="Heading 6"/>
    <w:basedOn w:val="819"/>
    <w:next w:val="819"/>
    <w:link w:val="6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4">
    <w:name w:val="Heading 6 Char"/>
    <w:basedOn w:val="821"/>
    <w:link w:val="653"/>
    <w:uiPriority w:val="9"/>
    <w:rPr>
      <w:rFonts w:ascii="Arial" w:hAnsi="Arial" w:eastAsia="Arial" w:cs="Arial"/>
      <w:b/>
      <w:bCs/>
      <w:sz w:val="22"/>
      <w:szCs w:val="22"/>
    </w:rPr>
  </w:style>
  <w:style w:type="paragraph" w:styleId="655">
    <w:name w:val="Heading 7"/>
    <w:basedOn w:val="819"/>
    <w:next w:val="819"/>
    <w:link w:val="65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6">
    <w:name w:val="Heading 7 Char"/>
    <w:basedOn w:val="821"/>
    <w:link w:val="65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7">
    <w:name w:val="Heading 8"/>
    <w:basedOn w:val="819"/>
    <w:next w:val="819"/>
    <w:link w:val="65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8">
    <w:name w:val="Heading 8 Char"/>
    <w:basedOn w:val="821"/>
    <w:link w:val="657"/>
    <w:uiPriority w:val="9"/>
    <w:rPr>
      <w:rFonts w:ascii="Arial" w:hAnsi="Arial" w:eastAsia="Arial" w:cs="Arial"/>
      <w:i/>
      <w:iCs/>
      <w:sz w:val="22"/>
      <w:szCs w:val="22"/>
    </w:rPr>
  </w:style>
  <w:style w:type="paragraph" w:styleId="659">
    <w:name w:val="Heading 9"/>
    <w:basedOn w:val="819"/>
    <w:next w:val="819"/>
    <w:link w:val="66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0">
    <w:name w:val="Heading 9 Char"/>
    <w:basedOn w:val="821"/>
    <w:link w:val="659"/>
    <w:uiPriority w:val="9"/>
    <w:rPr>
      <w:rFonts w:ascii="Arial" w:hAnsi="Arial" w:eastAsia="Arial" w:cs="Arial"/>
      <w:i/>
      <w:iCs/>
      <w:sz w:val="21"/>
      <w:szCs w:val="21"/>
    </w:rPr>
  </w:style>
  <w:style w:type="paragraph" w:styleId="661">
    <w:name w:val="No Spacing"/>
    <w:uiPriority w:val="1"/>
    <w:qFormat/>
    <w:pPr>
      <w:spacing w:before="0" w:after="0" w:line="240" w:lineRule="auto"/>
    </w:pPr>
  </w:style>
  <w:style w:type="paragraph" w:styleId="662">
    <w:name w:val="Title"/>
    <w:basedOn w:val="819"/>
    <w:next w:val="819"/>
    <w:link w:val="66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3">
    <w:name w:val="Title Char"/>
    <w:basedOn w:val="821"/>
    <w:link w:val="662"/>
    <w:uiPriority w:val="10"/>
    <w:rPr>
      <w:sz w:val="48"/>
      <w:szCs w:val="48"/>
    </w:rPr>
  </w:style>
  <w:style w:type="paragraph" w:styleId="664">
    <w:name w:val="Subtitle"/>
    <w:basedOn w:val="819"/>
    <w:next w:val="819"/>
    <w:link w:val="665"/>
    <w:uiPriority w:val="11"/>
    <w:qFormat/>
    <w:pPr>
      <w:spacing w:before="200" w:after="200"/>
    </w:pPr>
    <w:rPr>
      <w:sz w:val="24"/>
      <w:szCs w:val="24"/>
    </w:rPr>
  </w:style>
  <w:style w:type="character" w:styleId="665">
    <w:name w:val="Subtitle Char"/>
    <w:basedOn w:val="821"/>
    <w:link w:val="664"/>
    <w:uiPriority w:val="11"/>
    <w:rPr>
      <w:sz w:val="24"/>
      <w:szCs w:val="24"/>
    </w:rPr>
  </w:style>
  <w:style w:type="paragraph" w:styleId="666">
    <w:name w:val="Quote"/>
    <w:basedOn w:val="819"/>
    <w:next w:val="819"/>
    <w:link w:val="667"/>
    <w:uiPriority w:val="29"/>
    <w:qFormat/>
    <w:pPr>
      <w:ind w:left="720" w:right="720"/>
    </w:pPr>
    <w:rPr>
      <w:i/>
    </w:rPr>
  </w:style>
  <w:style w:type="character" w:styleId="667">
    <w:name w:val="Quote Char"/>
    <w:link w:val="666"/>
    <w:uiPriority w:val="29"/>
    <w:rPr>
      <w:i/>
    </w:rPr>
  </w:style>
  <w:style w:type="paragraph" w:styleId="668">
    <w:name w:val="Intense Quote"/>
    <w:basedOn w:val="819"/>
    <w:next w:val="819"/>
    <w:link w:val="66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9">
    <w:name w:val="Intense Quote Char"/>
    <w:link w:val="668"/>
    <w:uiPriority w:val="30"/>
    <w:rPr>
      <w:i/>
    </w:rPr>
  </w:style>
  <w:style w:type="paragraph" w:styleId="670">
    <w:name w:val="Header"/>
    <w:basedOn w:val="819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Header Char"/>
    <w:basedOn w:val="821"/>
    <w:link w:val="670"/>
    <w:uiPriority w:val="99"/>
  </w:style>
  <w:style w:type="paragraph" w:styleId="672">
    <w:name w:val="Footer"/>
    <w:basedOn w:val="819"/>
    <w:link w:val="67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3">
    <w:name w:val="Footer Char"/>
    <w:basedOn w:val="821"/>
    <w:link w:val="672"/>
    <w:uiPriority w:val="99"/>
  </w:style>
  <w:style w:type="paragraph" w:styleId="674">
    <w:name w:val="Caption"/>
    <w:basedOn w:val="819"/>
    <w:next w:val="8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5">
    <w:name w:val="Caption Char"/>
    <w:basedOn w:val="674"/>
    <w:link w:val="672"/>
    <w:uiPriority w:val="99"/>
  </w:style>
  <w:style w:type="table" w:styleId="676">
    <w:name w:val="Table Grid Light"/>
    <w:basedOn w:val="8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7">
    <w:name w:val="Plain Table 1"/>
    <w:basedOn w:val="82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2"/>
    <w:basedOn w:val="82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9">
    <w:name w:val="Plain Table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0">
    <w:name w:val="Plain Table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Plain Table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2">
    <w:name w:val="Grid Table 1 Light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4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4">
    <w:name w:val="Grid Table 4 - Accent 1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5">
    <w:name w:val="Grid Table 4 - Accent 2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6">
    <w:name w:val="Grid Table 4 - Accent 3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7">
    <w:name w:val="Grid Table 4 - Accent 4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8">
    <w:name w:val="Grid Table 4 - Accent 5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9">
    <w:name w:val="Grid Table 4 - Accent 6"/>
    <w:basedOn w:val="82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0">
    <w:name w:val="Grid Table 5 Dark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4">
    <w:name w:val="Grid Table 5 Dark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6">
    <w:name w:val="Grid Table 5 Dark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7">
    <w:name w:val="Grid Table 6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8">
    <w:name w:val="Grid Table 6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9">
    <w:name w:val="Grid Table 6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0">
    <w:name w:val="Grid Table 6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1">
    <w:name w:val="Grid Table 6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2">
    <w:name w:val="Grid Table 6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6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4">
    <w:name w:val="Grid Table 7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9">
    <w:name w:val="List Table 2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0">
    <w:name w:val="List Table 2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1">
    <w:name w:val="List Table 2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2">
    <w:name w:val="List Table 2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3">
    <w:name w:val="List Table 2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4">
    <w:name w:val="List Table 2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5">
    <w:name w:val="List Table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5 Dark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6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7">
    <w:name w:val="List Table 6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8">
    <w:name w:val="List Table 6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9">
    <w:name w:val="List Table 6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0">
    <w:name w:val="List Table 6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1">
    <w:name w:val="List Table 6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2">
    <w:name w:val="List Table 6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3">
    <w:name w:val="List Table 7 Colorful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4">
    <w:name w:val="List Table 7 Colorful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5">
    <w:name w:val="List Table 7 Colorful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6">
    <w:name w:val="List Table 7 Colorful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7">
    <w:name w:val="List Table 7 Colorful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8">
    <w:name w:val="List Table 7 Colorful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9">
    <w:name w:val="List Table 7 Colorful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0">
    <w:name w:val="Lined - Accent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Lined - Accent 1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Lined - Accent 2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Lined - Accent 3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Lined - Accent 4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Lined - Accent 5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Lined - Accent 6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 &amp; Lined - Accent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8">
    <w:name w:val="Bordered &amp; Lined - Accent 1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9">
    <w:name w:val="Bordered &amp; Lined - Accent 2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0">
    <w:name w:val="Bordered &amp; Lined - Accent 3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1">
    <w:name w:val="Bordered &amp; Lined - Accent 4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2">
    <w:name w:val="Bordered &amp; Lined - Accent 5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3">
    <w:name w:val="Bordered &amp; Lined - Accent 6"/>
    <w:basedOn w:val="82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4">
    <w:name w:val="Bordered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5">
    <w:name w:val="Bordered - Accent 1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6">
    <w:name w:val="Bordered - Accent 2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7">
    <w:name w:val="Bordered - Accent 3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8">
    <w:name w:val="Bordered - Accent 4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9">
    <w:name w:val="Bordered - Accent 5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0">
    <w:name w:val="Bordered - Accent 6"/>
    <w:basedOn w:val="82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1">
    <w:name w:val="Hyperlink"/>
    <w:uiPriority w:val="99"/>
    <w:unhideWhenUsed/>
    <w:rPr>
      <w:color w:val="0000ff" w:themeColor="hyperlink"/>
      <w:u w:val="single"/>
    </w:rPr>
  </w:style>
  <w:style w:type="paragraph" w:styleId="802">
    <w:name w:val="footnote text"/>
    <w:basedOn w:val="819"/>
    <w:link w:val="803"/>
    <w:uiPriority w:val="99"/>
    <w:semiHidden/>
    <w:unhideWhenUsed/>
    <w:pPr>
      <w:spacing w:after="40" w:line="240" w:lineRule="auto"/>
    </w:pPr>
    <w:rPr>
      <w:sz w:val="18"/>
    </w:rPr>
  </w:style>
  <w:style w:type="character" w:styleId="803">
    <w:name w:val="Footnote Text Char"/>
    <w:link w:val="802"/>
    <w:uiPriority w:val="99"/>
    <w:rPr>
      <w:sz w:val="18"/>
    </w:rPr>
  </w:style>
  <w:style w:type="character" w:styleId="804">
    <w:name w:val="footnote reference"/>
    <w:basedOn w:val="821"/>
    <w:uiPriority w:val="99"/>
    <w:unhideWhenUsed/>
    <w:rPr>
      <w:vertAlign w:val="superscript"/>
    </w:rPr>
  </w:style>
  <w:style w:type="paragraph" w:styleId="805">
    <w:name w:val="endnote text"/>
    <w:basedOn w:val="819"/>
    <w:link w:val="806"/>
    <w:uiPriority w:val="99"/>
    <w:semiHidden/>
    <w:unhideWhenUsed/>
    <w:pPr>
      <w:spacing w:after="0" w:line="240" w:lineRule="auto"/>
    </w:pPr>
    <w:rPr>
      <w:sz w:val="20"/>
    </w:rPr>
  </w:style>
  <w:style w:type="character" w:styleId="806">
    <w:name w:val="Endnote Text Char"/>
    <w:link w:val="805"/>
    <w:uiPriority w:val="99"/>
    <w:rPr>
      <w:sz w:val="20"/>
    </w:rPr>
  </w:style>
  <w:style w:type="character" w:styleId="807">
    <w:name w:val="endnote reference"/>
    <w:basedOn w:val="821"/>
    <w:uiPriority w:val="99"/>
    <w:semiHidden/>
    <w:unhideWhenUsed/>
    <w:rPr>
      <w:vertAlign w:val="superscript"/>
    </w:rPr>
  </w:style>
  <w:style w:type="paragraph" w:styleId="808">
    <w:name w:val="toc 1"/>
    <w:basedOn w:val="819"/>
    <w:next w:val="819"/>
    <w:uiPriority w:val="39"/>
    <w:unhideWhenUsed/>
    <w:pPr>
      <w:ind w:left="0" w:right="0" w:firstLine="0"/>
      <w:spacing w:after="57"/>
    </w:pPr>
  </w:style>
  <w:style w:type="paragraph" w:styleId="809">
    <w:name w:val="toc 2"/>
    <w:basedOn w:val="819"/>
    <w:next w:val="819"/>
    <w:uiPriority w:val="39"/>
    <w:unhideWhenUsed/>
    <w:pPr>
      <w:ind w:left="283" w:right="0" w:firstLine="0"/>
      <w:spacing w:after="57"/>
    </w:pPr>
  </w:style>
  <w:style w:type="paragraph" w:styleId="810">
    <w:name w:val="toc 3"/>
    <w:basedOn w:val="819"/>
    <w:next w:val="819"/>
    <w:uiPriority w:val="39"/>
    <w:unhideWhenUsed/>
    <w:pPr>
      <w:ind w:left="567" w:right="0" w:firstLine="0"/>
      <w:spacing w:after="57"/>
    </w:pPr>
  </w:style>
  <w:style w:type="paragraph" w:styleId="811">
    <w:name w:val="toc 4"/>
    <w:basedOn w:val="819"/>
    <w:next w:val="819"/>
    <w:uiPriority w:val="39"/>
    <w:unhideWhenUsed/>
    <w:pPr>
      <w:ind w:left="850" w:right="0" w:firstLine="0"/>
      <w:spacing w:after="57"/>
    </w:pPr>
  </w:style>
  <w:style w:type="paragraph" w:styleId="812">
    <w:name w:val="toc 5"/>
    <w:basedOn w:val="819"/>
    <w:next w:val="819"/>
    <w:uiPriority w:val="39"/>
    <w:unhideWhenUsed/>
    <w:pPr>
      <w:ind w:left="1134" w:right="0" w:firstLine="0"/>
      <w:spacing w:after="57"/>
    </w:pPr>
  </w:style>
  <w:style w:type="paragraph" w:styleId="813">
    <w:name w:val="toc 6"/>
    <w:basedOn w:val="819"/>
    <w:next w:val="819"/>
    <w:uiPriority w:val="39"/>
    <w:unhideWhenUsed/>
    <w:pPr>
      <w:ind w:left="1417" w:right="0" w:firstLine="0"/>
      <w:spacing w:after="57"/>
    </w:pPr>
  </w:style>
  <w:style w:type="paragraph" w:styleId="814">
    <w:name w:val="toc 7"/>
    <w:basedOn w:val="819"/>
    <w:next w:val="819"/>
    <w:uiPriority w:val="39"/>
    <w:unhideWhenUsed/>
    <w:pPr>
      <w:ind w:left="1701" w:right="0" w:firstLine="0"/>
      <w:spacing w:after="57"/>
    </w:pPr>
  </w:style>
  <w:style w:type="paragraph" w:styleId="815">
    <w:name w:val="toc 8"/>
    <w:basedOn w:val="819"/>
    <w:next w:val="819"/>
    <w:uiPriority w:val="39"/>
    <w:unhideWhenUsed/>
    <w:pPr>
      <w:ind w:left="1984" w:right="0" w:firstLine="0"/>
      <w:spacing w:after="57"/>
    </w:pPr>
  </w:style>
  <w:style w:type="paragraph" w:styleId="816">
    <w:name w:val="toc 9"/>
    <w:basedOn w:val="819"/>
    <w:next w:val="819"/>
    <w:uiPriority w:val="39"/>
    <w:unhideWhenUsed/>
    <w:pPr>
      <w:ind w:left="2268" w:right="0" w:firstLine="0"/>
      <w:spacing w:after="57"/>
    </w:pPr>
  </w:style>
  <w:style w:type="paragraph" w:styleId="817">
    <w:name w:val="TOC Heading"/>
    <w:uiPriority w:val="39"/>
    <w:unhideWhenUsed/>
  </w:style>
  <w:style w:type="paragraph" w:styleId="818">
    <w:name w:val="table of figures"/>
    <w:basedOn w:val="819"/>
    <w:next w:val="819"/>
    <w:uiPriority w:val="99"/>
    <w:unhideWhenUsed/>
    <w:pPr>
      <w:spacing w:after="0" w:afterAutospacing="0"/>
    </w:pPr>
  </w:style>
  <w:style w:type="paragraph" w:styleId="819" w:default="1">
    <w:name w:val="Normal"/>
    <w:qFormat/>
  </w:style>
  <w:style w:type="paragraph" w:styleId="820">
    <w:name w:val="Heading 3"/>
    <w:basedOn w:val="819"/>
    <w:link w:val="832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21" w:default="1">
    <w:name w:val="Default Paragraph Font"/>
    <w:uiPriority w:val="1"/>
    <w:semiHidden/>
    <w:unhideWhenUsed/>
  </w:style>
  <w:style w:type="table" w:styleId="8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3" w:default="1">
    <w:name w:val="No List"/>
    <w:uiPriority w:val="99"/>
    <w:semiHidden/>
    <w:unhideWhenUsed/>
  </w:style>
  <w:style w:type="character" w:styleId="824">
    <w:name w:val="annotation reference"/>
    <w:basedOn w:val="821"/>
    <w:uiPriority w:val="99"/>
    <w:semiHidden/>
    <w:unhideWhenUsed/>
    <w:rPr>
      <w:sz w:val="16"/>
      <w:szCs w:val="16"/>
    </w:rPr>
  </w:style>
  <w:style w:type="paragraph" w:styleId="825">
    <w:name w:val="annotation text"/>
    <w:basedOn w:val="819"/>
    <w:link w:val="826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26" w:customStyle="1">
    <w:name w:val="Текст примечания Знак"/>
    <w:basedOn w:val="821"/>
    <w:link w:val="825"/>
    <w:uiPriority w:val="99"/>
    <w:semiHidden/>
    <w:rPr>
      <w:sz w:val="20"/>
      <w:szCs w:val="20"/>
    </w:rPr>
  </w:style>
  <w:style w:type="paragraph" w:styleId="827">
    <w:name w:val="annotation subject"/>
    <w:basedOn w:val="825"/>
    <w:next w:val="825"/>
    <w:link w:val="828"/>
    <w:uiPriority w:val="99"/>
    <w:semiHidden/>
    <w:unhideWhenUsed/>
    <w:rPr>
      <w:b/>
      <w:bCs/>
    </w:rPr>
  </w:style>
  <w:style w:type="character" w:styleId="828" w:customStyle="1">
    <w:name w:val="Тема примечания Знак"/>
    <w:basedOn w:val="826"/>
    <w:link w:val="827"/>
    <w:uiPriority w:val="99"/>
    <w:semiHidden/>
    <w:rPr>
      <w:b/>
      <w:bCs/>
      <w:sz w:val="20"/>
      <w:szCs w:val="20"/>
    </w:rPr>
  </w:style>
  <w:style w:type="paragraph" w:styleId="829">
    <w:name w:val="Balloon Text"/>
    <w:basedOn w:val="819"/>
    <w:link w:val="83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0" w:customStyle="1">
    <w:name w:val="Текст выноски Знак"/>
    <w:basedOn w:val="821"/>
    <w:link w:val="829"/>
    <w:uiPriority w:val="99"/>
    <w:semiHidden/>
    <w:rPr>
      <w:rFonts w:ascii="Segoe UI" w:hAnsi="Segoe UI" w:cs="Segoe UI"/>
      <w:sz w:val="18"/>
      <w:szCs w:val="18"/>
    </w:rPr>
  </w:style>
  <w:style w:type="character" w:styleId="831" w:customStyle="1">
    <w:name w:val="markedcontent"/>
    <w:basedOn w:val="821"/>
  </w:style>
  <w:style w:type="character" w:styleId="832" w:customStyle="1">
    <w:name w:val="Заголовок 3 Знак"/>
    <w:basedOn w:val="821"/>
    <w:link w:val="820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833">
    <w:name w:val="List Paragraph"/>
    <w:basedOn w:val="819"/>
    <w:uiPriority w:val="34"/>
    <w:qFormat/>
    <w:pPr>
      <w:contextualSpacing/>
      <w:ind w:left="720"/>
    </w:pPr>
  </w:style>
  <w:style w:type="table" w:styleId="834">
    <w:name w:val="Table Grid"/>
    <w:basedOn w:val="82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revision>8</cp:revision>
  <dcterms:created xsi:type="dcterms:W3CDTF">2025-06-13T16:52:00Z</dcterms:created>
  <dcterms:modified xsi:type="dcterms:W3CDTF">2025-11-10T14:22:23Z</dcterms:modified>
</cp:coreProperties>
</file>